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02.12.2021 N 3427-р</w:t>
              <w:br/>
              <w:t xml:space="preserve">&lt;Об утверждении стратегического направления в области цифровой трансформации образования, относящейся к сфере деятельности Министерства просвещения Российской Федерации&gt;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20.09.2022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РАСПОРЯЖЕНИЕ</w:t>
      </w:r>
    </w:p>
    <w:p>
      <w:pPr>
        <w:pStyle w:val="2"/>
        <w:jc w:val="center"/>
      </w:pPr>
      <w:r>
        <w:rPr>
          <w:sz w:val="20"/>
        </w:rPr>
        <w:t xml:space="preserve">от 2 декабря 2021 г. N 3427-р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прилагаемое стратегическое </w:t>
      </w:r>
      <w:hyperlink w:history="0" w:anchor="P22" w:tooltip="СТРАТЕГИЧЕСКОЕ НАПРАВЛЕНИЕ">
        <w:r>
          <w:rPr>
            <w:sz w:val="20"/>
            <w:color w:val="0000ff"/>
          </w:rPr>
          <w:t xml:space="preserve">направление</w:t>
        </w:r>
      </w:hyperlink>
      <w:r>
        <w:rPr>
          <w:sz w:val="20"/>
        </w:rPr>
        <w:t xml:space="preserve"> в области цифровой трансформации образования, относящейся к сфере деятельности Министерства просвещения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Минпросвещения России совместно с заинтересованными органами исполнительной власти, органами государственной власти субъектов Российской Федерации и органами местного самоуправления обеспечить реализацию стратегического </w:t>
      </w:r>
      <w:hyperlink w:history="0" w:anchor="P22" w:tooltip="СТРАТЕГИЧЕСКОЕ НАПРАВЛЕНИЕ">
        <w:r>
          <w:rPr>
            <w:sz w:val="20"/>
            <w:color w:val="0000ff"/>
          </w:rPr>
          <w:t xml:space="preserve">направления</w:t>
        </w:r>
      </w:hyperlink>
      <w:r>
        <w:rPr>
          <w:sz w:val="20"/>
        </w:rPr>
        <w:t xml:space="preserve">, утвержденного настоящим распоряжением.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М.МИШУСТИН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 декабря 2021 г. N 3427-р</w:t>
      </w:r>
    </w:p>
    <w:p>
      <w:pPr>
        <w:pStyle w:val="0"/>
        <w:jc w:val="both"/>
      </w:pPr>
      <w:r>
        <w:rPr>
          <w:sz w:val="20"/>
        </w:rPr>
      </w:r>
    </w:p>
    <w:bookmarkStart w:id="22" w:name="P22"/>
    <w:bookmarkEnd w:id="22"/>
    <w:p>
      <w:pPr>
        <w:pStyle w:val="2"/>
        <w:jc w:val="center"/>
      </w:pPr>
      <w:r>
        <w:rPr>
          <w:sz w:val="20"/>
        </w:rPr>
        <w:t xml:space="preserve">СТРАТЕГИЧЕСКОЕ НАПРАВЛЕНИЕ</w:t>
      </w:r>
    </w:p>
    <w:p>
      <w:pPr>
        <w:pStyle w:val="2"/>
        <w:jc w:val="center"/>
      </w:pPr>
      <w:r>
        <w:rPr>
          <w:sz w:val="20"/>
        </w:rPr>
        <w:t xml:space="preserve">В ОБЛАСТИ ЦИФРОВОЙ ТРАНСФОРМАЦИИ ОБРАЗОВАНИЯ, ОТНОСЯЩЕЙСЯ</w:t>
      </w:r>
    </w:p>
    <w:p>
      <w:pPr>
        <w:pStyle w:val="2"/>
        <w:jc w:val="center"/>
      </w:pPr>
      <w:r>
        <w:rPr>
          <w:sz w:val="20"/>
        </w:rPr>
        <w:t xml:space="preserve">К СФЕРЕ ДЕЯТЕЛЬНОСТИ МИНИСТЕРСТВА ПРОСВЕЩЕНИЯ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Основаниями разработки стратегического направления в области цифровой трансформации образования, относящейся к сфере деятельности Министерства просвещения Российской Федерации (далее соответственно - цифровая трансформация, стратегическое направление),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Федеральный </w:t>
      </w:r>
      <w:hyperlink w:history="0" r:id="rId7" w:tooltip="Федеральный закон от 28.06.2014 N 172-ФЗ (ред. от 31.07.2020) &quot;О стратегическом планировании в Российской Федерации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"О стратегическом планировании в Российской Федерации";</w:t>
      </w:r>
    </w:p>
    <w:p>
      <w:pPr>
        <w:pStyle w:val="0"/>
        <w:spacing w:before="200" w:line-rule="auto"/>
        <w:ind w:firstLine="540"/>
        <w:jc w:val="both"/>
      </w:pPr>
      <w:hyperlink w:history="0" r:id="rId8" w:tooltip="Постановление Правительства РФ от 29.10.2015 N 1162 &quot;Об утверждении Правил разработки, корректировки, осуществления мониторинга и контроля реализации отраслевых документов стратегического планирования Российской Федерации по вопросам, находящимся в ведении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29 октября 2015 г. N 1162 "Об утверждении Правил разработки, корректировки, осуществления мониторинга и контроля реализации отраслевых документов стратегического планирования Российской Федерации по вопросам, находящимся в ведении Правительства Российской Федерации";</w:t>
      </w:r>
    </w:p>
    <w:p>
      <w:pPr>
        <w:pStyle w:val="0"/>
        <w:spacing w:before="200" w:line-rule="auto"/>
        <w:ind w:firstLine="540"/>
        <w:jc w:val="both"/>
      </w:pPr>
      <w:hyperlink w:history="0" r:id="rId9" w:tooltip="Указ Президента РФ от 05.12.2016 N 646 &quot;Об утверждении Доктрины информационной безопасности Российской Федера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5 декабря 2016 г. N 646 "Об утверждении Доктрины информационной безопасности Российской Федерации";</w:t>
      </w:r>
    </w:p>
    <w:p>
      <w:pPr>
        <w:pStyle w:val="0"/>
        <w:spacing w:before="200" w:line-rule="auto"/>
        <w:ind w:firstLine="540"/>
        <w:jc w:val="both"/>
      </w:pPr>
      <w:hyperlink w:history="0" r:id="rId10" w:tooltip="Указ Президента РФ от 09.05.2017 N 203 &quot;О Стратегии развития информационного общества в Российской Федерации на 2017 - 2030 годы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9 мая 2017 г. N 203 "О Стратегии развития информационного общества в Российской Федерации на 2017 - 2030 годы";</w:t>
      </w:r>
    </w:p>
    <w:p>
      <w:pPr>
        <w:pStyle w:val="0"/>
        <w:spacing w:before="200" w:line-rule="auto"/>
        <w:ind w:firstLine="540"/>
        <w:jc w:val="both"/>
      </w:pPr>
      <w:hyperlink w:history="0" r:id="rId11" w:tooltip="Указ Президента РФ от 07.05.2018 N 204 (ред. от 21.07.2020) &quot;О национальных целях и стратегических задачах развития Российской Федерации на период до 2024 года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7 мая 2018 г. N 204 "О национальных целях и стратегических задачах развития Российской Федерации на период до 2024 года";</w:t>
      </w:r>
    </w:p>
    <w:p>
      <w:pPr>
        <w:pStyle w:val="0"/>
        <w:spacing w:before="200" w:line-rule="auto"/>
        <w:ind w:firstLine="540"/>
        <w:jc w:val="both"/>
      </w:pPr>
      <w:hyperlink w:history="0" r:id="rId12" w:tooltip="Указ Президента РФ от 21.07.2020 N 474 &quot;О национальных целях развития Российской Федерации на период до 2030 года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21 июля 2020 г. N 474 "О национальных целях развития Российской Федерации на период до 2030 года";</w:t>
      </w:r>
    </w:p>
    <w:p>
      <w:pPr>
        <w:pStyle w:val="0"/>
        <w:spacing w:before="200" w:line-rule="auto"/>
        <w:ind w:firstLine="540"/>
        <w:jc w:val="both"/>
      </w:pPr>
      <w:hyperlink w:history="0" r:id="rId13" w:tooltip="Распоряжение Правительства РФ от 17.01.2020 N 20-р &lt;Об утверждении Стратегии развития электронной промышленности Российской Федерации на период до 2030 года&gt; {КонсультантПлюс}">
        <w:r>
          <w:rPr>
            <w:sz w:val="20"/>
            <w:color w:val="0000ff"/>
          </w:rPr>
          <w:t xml:space="preserve">Стратегия</w:t>
        </w:r>
      </w:hyperlink>
      <w:r>
        <w:rPr>
          <w:sz w:val="20"/>
        </w:rPr>
        <w:t xml:space="preserve"> развития электронной промышленности Российской Федерации на период до 2030 года, утвержденная распоряжением Правительства Российской Федерации от 17 января 2020 г. N 20-р;</w:t>
      </w:r>
    </w:p>
    <w:p>
      <w:pPr>
        <w:pStyle w:val="0"/>
        <w:spacing w:before="200" w:line-rule="auto"/>
        <w:ind w:firstLine="540"/>
        <w:jc w:val="both"/>
      </w:pPr>
      <w:hyperlink w:history="0" r:id="rId14" w:tooltip="&quot;Перечень поручений по итогам совещания с членами Правительства&quot; (утв. Президентом РФ 10.10.2020 N Пр-1648) {КонсультантПлюс}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поручений Президента Российской Федерации от 10 октября 2020 г. N Пр-1648 по итогам совещания с членами Правительства;</w:t>
      </w:r>
    </w:p>
    <w:p>
      <w:pPr>
        <w:pStyle w:val="0"/>
        <w:spacing w:before="200" w:line-rule="auto"/>
        <w:ind w:firstLine="540"/>
        <w:jc w:val="both"/>
      </w:pPr>
      <w:hyperlink w:history="0" r:id="rId15" w:tooltip="&quot;Перечень поручений по итогам конференции по искусственному интеллекту&quot; (утв. Президентом РФ 31.12.2020 N Пр-2242) {КонсультантПлюс}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поручений Президента Российской Федерации от 31 декабря 2020 г. N Пр-2242 по итогам конференции по искусственному интеллекту;</w:t>
      </w:r>
    </w:p>
    <w:p>
      <w:pPr>
        <w:pStyle w:val="0"/>
        <w:spacing w:before="200" w:line-rule="auto"/>
        <w:ind w:firstLine="540"/>
        <w:jc w:val="both"/>
      </w:pPr>
      <w:hyperlink w:history="0" r:id="rId16" w:tooltip="&quot;Перечень поручений по итогам заседания Совета по стратегическому развитию и национальным проектам&quot; (утв. Президентом РФ 05.08.2021 N Пр-1383) {КонсультантПлюс}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поручений Президента Российской Федерации по итогам заседания Совета при Президенте Российской Федерации по стратегическому развитию и национальным проектам от 5 августа 2021 г. N Пр-1383.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ходе реализации стратегического направления будут внедрены следующие технологии: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искусственный интеллект в части рекомендательных систем и интеллектуальных систем поддержки принятия решений, перспективных методов и технологий ("Цифровой помощник ученика", "Цифровой помощник родителя", "Цифровой помощник учителя");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большие данные в части использования методов интеллектуального анализа значительных объемов информации для поддержки принятия управленческих решений и повышения качества данных ("Создание и внедрение системы управления в образовательной организации");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системы распределенного реестра ("Цифровое портфолио ученика");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облачные технологии ("Библиотека цифрового образовательного контента").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Стратегическое направление утверждается до 2030 года. Внесение изменений в стратегическое направление возможно не более одного раза в год.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Стратегическое направление охватывает все уровни общего образования, а также среднего профессионального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рамках реализации стратегического направления предусмотрено внедрение радиоэлектронной продукции (в том числе систем хранения данных и серверного оборудования, автоматизированных рабочих мест, программно-аппаратных комплексов, коммуникационного оборудования, систем видеонаблюдения) российского происхождения: 2022 год - 37,5 процента, 2023 год - 39,5 процента, 2024 год - 40,8 процента, 2030 год - 100 процентов.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Предусмотрены создание условий для функционирования электронной информационно-образовательной среды, включающей в себя электронные информационные ресурсы, электронные образовательные ресурсы, совокупность информационных технологий, телекоммуникационных технологий,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обучающихся, а также использование сервисов и создание единых форм услуг, в том числе с применением инфраструктуры федеральной государственной информационной системы "Единый портал государственных и муниципальных услуг (функций)".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Реализация стратегического направления предусматривает достижение целевых показателей национальной цели "Цифровая трансформация", установленных </w:t>
      </w:r>
      <w:hyperlink w:history="0" r:id="rId17" w:tooltip="Указ Президента РФ от 21.07.2020 N 474 &quot;О национальных целях развития Российской Федерации на период до 2030 года&quot; {КонсультантПлюс}">
        <w:r>
          <w:rPr>
            <w:sz w:val="20"/>
            <w:color w:val="0000ff"/>
          </w:rPr>
          <w:t xml:space="preserve">подпунктом "д" пункта 2</w:t>
        </w:r>
      </w:hyperlink>
      <w:r>
        <w:rPr>
          <w:sz w:val="20"/>
        </w:rPr>
        <w:t xml:space="preserve"> Указа Президента Российской Федерации от 21 июля 2020 г. N 474 "О национальных целях развития Российской Федерации на период до 2030 года":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достижение "цифровой зрелости" ключевых отраслей экономики и социальной сферы, в том числе здравоохранения и образования, а также государственного управления;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увеличение вложений в отечественные решения в сфере информационных технологий в четыре раза по сравнению с показателем 2019 года;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увеличение доли массовых социально значимых услуг, доступных в электронном виде, до 95 процентов.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Приоритеты, цели и задачи цифровой трансформации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Целью цифровой трансформации является обеспечение эффективной информационной поддержки участников образовательных отношений в рамках организации процесса получения образования и управления образовательной деятельностью.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Задачами цифровой трансформации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повышение эффективности процессов функционирования организаций, осуществляющих образовательную деятельность;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предоставление равного доступа к качественному верифицированному цифровому образовательному контенту и цифровым образовательным сервисам на всей территории Российской Федерации всем категориям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набора сервисов с возможностью получить образовательные сервисы посредством единой точки доступа к цифровым образовательным сервисам, направленным на повышение уровня цифровой культуры;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стандартизация взаимодействия создаваемых и существующих информационных систем Министерства просвещения Российской Федерации, региональных систем и переход на использование единых классификаторов, реестров, справочников и форматов взаимодействия.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Проблемы и вызовы цифровой трансформации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Проблемами текущего состояния образования, решаемыми при цифровизации,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повышенная нагрузка на педагогических работников в результате работы с несколькими информационными системами и большим объемом данных, вводимых вручную;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разрозненность верифицированного цифрового образовательного контента, отсутствие единой точки "сборки" верифицированного контента, сопровождающейся едиными требованиями;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слабая интеграция цифровых технологий и продуктов в процесс обучения, воспитания и развития;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проблемы обработки больших данных и объективности данных, на основании которых принимаются управленческие решения, в результате отсутствия интегрированных информационных систем.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Вызовами цифровой трансформации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предоставление доступа к верифицированному цифровому образовательному контенту и сервисам участникам образовательных отношений на безвозмездной основе;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предоставление доступа к проактивным сервисам подборки верифицированного цифрового образовательного контента, обеспечивающего высокое качество подготовки по общеобразовательным программам и развитие в соответствии с интересами и способностями;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использования сервисов по автоматизированному планированию образовательных программ и таргетированному подбору соответствующего верифицированного контента;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разработки предложений по таргетированному перечню программ повышения квалификации в соответствии с профессиональными дефицитами и интересами педагогических работников;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использования образовательными организациями сервисов федеральной информационно-сервисной платформы цифровой образовательной среды при реализации образовательных программ.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Общие вызовы формируют ряд стратегических рисков, среди которых наиболее значимыми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низкий уровень интеграции с едиными региональными информационными системами и ресурсами в сфере образования в государственных и муниципальных образовательных организациях в субъектах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недостаточный уровень цифровой культуры общества;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недостаточное финансирование системы образования на уровне субъектов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Проекты цифровой трансформации приведены в </w:t>
      </w:r>
      <w:hyperlink w:history="0" w:anchor="P100" w:tooltip="ПРОЕКТЫ">
        <w:r>
          <w:rPr>
            <w:sz w:val="20"/>
            <w:color w:val="0000ff"/>
          </w:rPr>
          <w:t xml:space="preserve">приложении N 1</w:t>
        </w:r>
      </w:hyperlink>
      <w:r>
        <w:rPr>
          <w:sz w:val="20"/>
        </w:rPr>
        <w:t xml:space="preserve">. Показатели цифровой трансформации приведены в </w:t>
      </w:r>
      <w:hyperlink w:history="0" w:anchor="P180" w:tooltip="ПОКАЗАТЕЛИ">
        <w:r>
          <w:rPr>
            <w:sz w:val="20"/>
            <w:color w:val="0000ff"/>
          </w:rPr>
          <w:t xml:space="preserve">приложении N 2</w:t>
        </w:r>
      </w:hyperlink>
      <w:r>
        <w:rPr>
          <w:sz w:val="20"/>
        </w:rPr>
        <w:t xml:space="preserve">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Участники реализации стратегического направления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Федеральным органом исполнительной власти, ответственным за реализацию стратегического направления, является Министерство просвещения Российской Федерации в составе следующих соисполнителей: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федеральные органы исполнительной власти;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органы государственной власти субъектов Российской Федерации и органы местного самоуправления;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иные органы государственной власти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стратегическому направлению</w:t>
      </w:r>
    </w:p>
    <w:p>
      <w:pPr>
        <w:pStyle w:val="0"/>
        <w:jc w:val="right"/>
      </w:pPr>
      <w:r>
        <w:rPr>
          <w:sz w:val="20"/>
        </w:rPr>
        <w:t xml:space="preserve">в области цифровой трансформации</w:t>
      </w:r>
    </w:p>
    <w:p>
      <w:pPr>
        <w:pStyle w:val="0"/>
        <w:jc w:val="right"/>
      </w:pPr>
      <w:r>
        <w:rPr>
          <w:sz w:val="20"/>
        </w:rPr>
        <w:t xml:space="preserve">образования, относящейся к сфере</w:t>
      </w:r>
    </w:p>
    <w:p>
      <w:pPr>
        <w:pStyle w:val="0"/>
        <w:jc w:val="right"/>
      </w:pPr>
      <w:r>
        <w:rPr>
          <w:sz w:val="20"/>
        </w:rPr>
        <w:t xml:space="preserve">деятельности Министерства</w:t>
      </w:r>
    </w:p>
    <w:p>
      <w:pPr>
        <w:pStyle w:val="0"/>
        <w:jc w:val="right"/>
      </w:pPr>
      <w:r>
        <w:rPr>
          <w:sz w:val="20"/>
        </w:rPr>
        <w:t xml:space="preserve">просвещения Российской Федерации</w:t>
      </w:r>
    </w:p>
    <w:p>
      <w:pPr>
        <w:pStyle w:val="0"/>
        <w:jc w:val="both"/>
      </w:pPr>
      <w:r>
        <w:rPr>
          <w:sz w:val="20"/>
        </w:rPr>
      </w:r>
    </w:p>
    <w:bookmarkStart w:id="100" w:name="P100"/>
    <w:bookmarkEnd w:id="100"/>
    <w:p>
      <w:pPr>
        <w:pStyle w:val="2"/>
        <w:jc w:val="center"/>
      </w:pPr>
      <w:r>
        <w:rPr>
          <w:sz w:val="20"/>
        </w:rPr>
        <w:t xml:space="preserve">ПРОЕКТЫ</w:t>
      </w:r>
    </w:p>
    <w:p>
      <w:pPr>
        <w:pStyle w:val="2"/>
        <w:jc w:val="center"/>
      </w:pPr>
      <w:r>
        <w:rPr>
          <w:sz w:val="20"/>
        </w:rPr>
        <w:t xml:space="preserve">В ОБЛАСТИ ЦИФРОВОЙ ТРАНСФОРМАЦИИ ОБРАЗОВАНИЯ, ОТНОСЯЩЕЙСЯ</w:t>
      </w:r>
    </w:p>
    <w:p>
      <w:pPr>
        <w:pStyle w:val="2"/>
        <w:jc w:val="center"/>
      </w:pPr>
      <w:r>
        <w:rPr>
          <w:sz w:val="20"/>
        </w:rPr>
        <w:t xml:space="preserve">К СФЕРЕ ДЕЯТЕЛЬНОСТИ МИНИСТЕРСТВА ПРОСВЕЩЕНИЯ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1531"/>
        <w:gridCol w:w="3542"/>
        <w:gridCol w:w="1474"/>
        <w:gridCol w:w="2948"/>
        <w:gridCol w:w="1814"/>
      </w:tblGrid>
      <w:tr>
        <w:tblPrEx>
          <w:tblBorders>
            <w:insideV w:val="single" w:sz="4"/>
            <w:insideH w:val="single" w:sz="4"/>
          </w:tblBorders>
        </w:tblPrEx>
        <w:tc>
          <w:tcPr>
            <w:gridSpan w:val="2"/>
            <w:tcW w:w="2098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проекта</w:t>
            </w:r>
          </w:p>
        </w:tc>
        <w:tc>
          <w:tcPr>
            <w:tcW w:w="354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Цель проекта</w:t>
            </w:r>
          </w:p>
        </w:tc>
        <w:tc>
          <w:tcPr>
            <w:tcW w:w="147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 проекта</w:t>
            </w:r>
          </w:p>
        </w:tc>
        <w:tc>
          <w:tcPr>
            <w:tcW w:w="294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Краткое описание проекта</w:t>
            </w:r>
          </w:p>
        </w:tc>
        <w:tc>
          <w:tcPr>
            <w:tcW w:w="1814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Заинтересованные лица</w:t>
            </w:r>
          </w:p>
        </w:tc>
      </w:tr>
      <w:tr>
        <w:tc>
          <w:tcPr>
            <w:tcW w:w="56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53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Создание сервиса "Библиотека цифрового образовательного контента"</w:t>
            </w:r>
          </w:p>
        </w:tc>
        <w:tc>
          <w:tcPr>
            <w:tcW w:w="354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формирование эффективной системы выявления, развития и поддержки талантов у обучающихся;</w:t>
            </w:r>
          </w:p>
          <w:p>
            <w:pPr>
              <w:pStyle w:val="0"/>
            </w:pPr>
            <w:r>
              <w:rPr>
                <w:sz w:val="20"/>
              </w:rPr>
              <w:t xml:space="preserve">создание условий для воспитания гармонично развитой и социально ответственной личности;</w:t>
            </w:r>
          </w:p>
          <w:p>
            <w:pPr>
              <w:pStyle w:val="0"/>
            </w:pPr>
            <w:r>
              <w:rPr>
                <w:sz w:val="20"/>
              </w:rPr>
              <w:t xml:space="preserve">достижение цифровой зрелости ключевых отраслей экономики, социальной сферы;</w:t>
            </w:r>
          </w:p>
          <w:p>
            <w:pPr>
              <w:pStyle w:val="0"/>
            </w:pPr>
            <w:r>
              <w:rPr>
                <w:sz w:val="20"/>
              </w:rPr>
              <w:t xml:space="preserve">увеличение вложений в отечественные решения в сфере ИТ;</w:t>
            </w:r>
          </w:p>
          <w:p>
            <w:pPr>
              <w:pStyle w:val="0"/>
            </w:pPr>
            <w:r>
              <w:rPr>
                <w:sz w:val="20"/>
              </w:rPr>
              <w:t xml:space="preserve">охват всех уровней общего образования, а также среднего профессионального образования</w:t>
            </w:r>
          </w:p>
        </w:tc>
        <w:tc>
          <w:tcPr>
            <w:tcW w:w="147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 2030 года</w:t>
            </w:r>
          </w:p>
        </w:tc>
        <w:tc>
          <w:tcPr>
            <w:tcW w:w="294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сервис, позволяющий использовать современный верифицированный цифровой образовательный контент, реализовывать образовательные программы углубленного уровня, выстраивать индивидуальные образовательные траектории, а также повышать уровень профессиональной компетентности педагогических работников</w:t>
            </w:r>
          </w:p>
        </w:tc>
        <w:tc>
          <w:tcPr>
            <w:tcW w:w="181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обучающиеся, родители (законные представители), педагогические работники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Создание и внедрение сервиса для обучающихся "Цифровой помощник ученика"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формирование эффективной системы выявления, развития и поддержки талантов у обучающихся;</w:t>
            </w:r>
          </w:p>
          <w:p>
            <w:pPr>
              <w:pStyle w:val="0"/>
            </w:pPr>
            <w:r>
              <w:rPr>
                <w:sz w:val="20"/>
              </w:rPr>
              <w:t xml:space="preserve">достижение "цифровой зрелости" ключевых отраслей экономики, социальной сферы;</w:t>
            </w:r>
          </w:p>
          <w:p>
            <w:pPr>
              <w:pStyle w:val="0"/>
            </w:pPr>
            <w:r>
              <w:rPr>
                <w:sz w:val="20"/>
              </w:rPr>
              <w:t xml:space="preserve">увеличение вложений в отечественные решения в сфере ИТ;</w:t>
            </w:r>
          </w:p>
          <w:p>
            <w:pPr>
              <w:pStyle w:val="0"/>
            </w:pPr>
            <w:r>
              <w:rPr>
                <w:sz w:val="20"/>
              </w:rPr>
              <w:t xml:space="preserve">охват всех уровней общего образования, а также среднего профессионального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 2030 года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сервис, позволяющий с учетом подборки верифицированного цифрового образовательного контента выстраивать индивидуальный план обучения в соответствии с интересами и способностями обучающегося, а также управлять образовательной траекторией в соответствии с уровнем подготовки и интересами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обучающиеся, родители (законные представители), педагогические работники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Создание и внедрение сервиса "Цифровой помощник родителя"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формирование эффективной системы выявления, развития и поддержки талантов у обучающихся;</w:t>
            </w:r>
          </w:p>
          <w:p>
            <w:pPr>
              <w:pStyle w:val="0"/>
            </w:pPr>
            <w:r>
              <w:rPr>
                <w:sz w:val="20"/>
              </w:rPr>
              <w:t xml:space="preserve">достижение "цифровой зрелости" ключевых отраслей экономики, социальной сферы;</w:t>
            </w:r>
          </w:p>
          <w:p>
            <w:pPr>
              <w:pStyle w:val="0"/>
            </w:pPr>
            <w:r>
              <w:rPr>
                <w:sz w:val="20"/>
              </w:rPr>
              <w:t xml:space="preserve">увеличение вложений в отечественные решения в сфере ИТ;</w:t>
            </w:r>
          </w:p>
          <w:p>
            <w:pPr>
              <w:pStyle w:val="0"/>
            </w:pPr>
            <w:r>
              <w:rPr>
                <w:sz w:val="20"/>
              </w:rPr>
              <w:t xml:space="preserve">охват всех уровней общего образования, а также среднего профессионального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 2030 года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проактивный сервис, создающий комплексные возможности для организации образовательной деятельности обучающегося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родители (законные представители), обучающиеся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Создание и внедрение сервиса для обучающихся "Цифровое портфолио ученика"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формирование эффективной системы выявления, развития и поддержки талантов у обучающихся;</w:t>
            </w:r>
          </w:p>
          <w:p>
            <w:pPr>
              <w:pStyle w:val="0"/>
            </w:pPr>
            <w:r>
              <w:rPr>
                <w:sz w:val="20"/>
              </w:rPr>
              <w:t xml:space="preserve">создание условий для воспитания гармонично развитой и социально ответственной личности;</w:t>
            </w:r>
          </w:p>
          <w:p>
            <w:pPr>
              <w:pStyle w:val="0"/>
            </w:pPr>
            <w:r>
              <w:rPr>
                <w:sz w:val="20"/>
              </w:rPr>
              <w:t xml:space="preserve">достижение "цифровой зрелости" ключевых отраслей экономики, социальной сферы;</w:t>
            </w:r>
          </w:p>
          <w:p>
            <w:pPr>
              <w:pStyle w:val="0"/>
            </w:pPr>
            <w:r>
              <w:rPr>
                <w:sz w:val="20"/>
              </w:rPr>
              <w:t xml:space="preserve">увеличение вложений в отечественные решения в сфере ИТ;</w:t>
            </w:r>
          </w:p>
          <w:p>
            <w:pPr>
              <w:pStyle w:val="0"/>
            </w:pPr>
            <w:r>
              <w:rPr>
                <w:sz w:val="20"/>
              </w:rPr>
              <w:t xml:space="preserve">увеличение доли массовых социально значимых услуг, доступных в электронном виде;</w:t>
            </w:r>
          </w:p>
          <w:p>
            <w:pPr>
              <w:pStyle w:val="0"/>
            </w:pPr>
            <w:r>
              <w:rPr>
                <w:sz w:val="20"/>
              </w:rPr>
              <w:t xml:space="preserve">охват всех уровней общего образования, а также среднего профессионального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 2030 года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сервис, обеспечивающий обучающимся возможность управления образовательной траекторией, академическими и личностными достижениями, предоставляющий возможность сформировать пакет документов для их подачи на обучение по программам среднего профессионального или высшего образования;</w:t>
            </w:r>
          </w:p>
          <w:p>
            <w:pPr>
              <w:pStyle w:val="0"/>
            </w:pPr>
            <w:r>
              <w:rPr>
                <w:sz w:val="20"/>
              </w:rPr>
              <w:t xml:space="preserve">формирование цифрового портфолио ученика будет осуществляться с согласия родителей (законных представителей) обучающихся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обучающиеся, родители (законные представители), педагогические работники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Создание и внедрение сервиса "Цифровой помощник учителя"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формирование эффективной системы выявления, развития и поддержки талантов у обучающихся;</w:t>
            </w:r>
          </w:p>
          <w:p>
            <w:pPr>
              <w:pStyle w:val="0"/>
            </w:pPr>
            <w:r>
              <w:rPr>
                <w:sz w:val="20"/>
              </w:rPr>
              <w:t xml:space="preserve">создание условий для воспитания гармонично развитой и социально ответственной личности;</w:t>
            </w:r>
          </w:p>
          <w:p>
            <w:pPr>
              <w:pStyle w:val="0"/>
            </w:pPr>
            <w:r>
              <w:rPr>
                <w:sz w:val="20"/>
              </w:rPr>
              <w:t xml:space="preserve">достижение "цифровой зрелости" ключевых отраслей экономики, социальной сферы;</w:t>
            </w:r>
          </w:p>
          <w:p>
            <w:pPr>
              <w:pStyle w:val="0"/>
            </w:pPr>
            <w:r>
              <w:rPr>
                <w:sz w:val="20"/>
              </w:rPr>
              <w:t xml:space="preserve">увеличение вложений в отечественные решения в сфере ИТ;</w:t>
            </w:r>
          </w:p>
          <w:p>
            <w:pPr>
              <w:pStyle w:val="0"/>
            </w:pPr>
            <w:r>
              <w:rPr>
                <w:sz w:val="20"/>
              </w:rPr>
              <w:t xml:space="preserve">охват всех уровней общего образования, а также среднего профессионального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 2030 года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сервис, автоматизирующий проверку домашних заданий и планирование образовательных программ с привлечением экспертных систем искусственного интеллекта, упрощающий и помогающий сформировать эффективную систему выявления, развития и поддержки талантов у детей, снизить административную нагрузку на педагогических работников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педагогические работники, обучающиеся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Создание и внедрение системы управления в образовательной организации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достижение "цифровой зрелости" ключевых отраслей экономики, социальной сферы;</w:t>
            </w:r>
          </w:p>
          <w:p>
            <w:pPr>
              <w:pStyle w:val="0"/>
            </w:pPr>
            <w:r>
              <w:rPr>
                <w:sz w:val="20"/>
              </w:rPr>
              <w:t xml:space="preserve">увеличение доли массовых социально значимых услуг, доступных в электронном виде;</w:t>
            </w:r>
          </w:p>
          <w:p>
            <w:pPr>
              <w:pStyle w:val="0"/>
            </w:pPr>
            <w:r>
              <w:rPr>
                <w:sz w:val="20"/>
              </w:rPr>
              <w:t xml:space="preserve">увеличение вложений в отечественные решения в сфере ИТ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 2030 года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построение системы управления образовательной организацией направлено на расширение возможности принятия управленческих решений на основе анализа больших данных, на насыщение такой системы интеллектуальными алгоритмами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образовательные организации, органы государственной власти и органы местного самоуправления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стратегическому направлению</w:t>
      </w:r>
    </w:p>
    <w:p>
      <w:pPr>
        <w:pStyle w:val="0"/>
        <w:jc w:val="right"/>
      </w:pPr>
      <w:r>
        <w:rPr>
          <w:sz w:val="20"/>
        </w:rPr>
        <w:t xml:space="preserve">в области цифровой трансформации</w:t>
      </w:r>
    </w:p>
    <w:p>
      <w:pPr>
        <w:pStyle w:val="0"/>
        <w:jc w:val="right"/>
      </w:pPr>
      <w:r>
        <w:rPr>
          <w:sz w:val="20"/>
        </w:rPr>
        <w:t xml:space="preserve">образования, относящейся к сфере</w:t>
      </w:r>
    </w:p>
    <w:p>
      <w:pPr>
        <w:pStyle w:val="0"/>
        <w:jc w:val="right"/>
      </w:pPr>
      <w:r>
        <w:rPr>
          <w:sz w:val="20"/>
        </w:rPr>
        <w:t xml:space="preserve">деятельности Министерства</w:t>
      </w:r>
    </w:p>
    <w:p>
      <w:pPr>
        <w:pStyle w:val="0"/>
        <w:jc w:val="right"/>
      </w:pPr>
      <w:r>
        <w:rPr>
          <w:sz w:val="20"/>
        </w:rPr>
        <w:t xml:space="preserve">просвещения Российской Федерации</w:t>
      </w:r>
    </w:p>
    <w:p>
      <w:pPr>
        <w:pStyle w:val="0"/>
        <w:jc w:val="both"/>
      </w:pPr>
      <w:r>
        <w:rPr>
          <w:sz w:val="20"/>
        </w:rPr>
      </w:r>
    </w:p>
    <w:bookmarkStart w:id="180" w:name="P180"/>
    <w:bookmarkEnd w:id="180"/>
    <w:p>
      <w:pPr>
        <w:pStyle w:val="2"/>
        <w:jc w:val="center"/>
      </w:pPr>
      <w:r>
        <w:rPr>
          <w:sz w:val="20"/>
        </w:rPr>
        <w:t xml:space="preserve">ПОКАЗАТЕЛИ</w:t>
      </w:r>
    </w:p>
    <w:p>
      <w:pPr>
        <w:pStyle w:val="2"/>
        <w:jc w:val="center"/>
      </w:pPr>
      <w:r>
        <w:rPr>
          <w:sz w:val="20"/>
        </w:rPr>
        <w:t xml:space="preserve">В ОБЛАСТИ ЦИФРОВОЙ ТРАНСФОРМАЦИИ ОБРАЗОВАНИЯ, ОТНОСЯЩЕЙСЯ</w:t>
      </w:r>
    </w:p>
    <w:p>
      <w:pPr>
        <w:pStyle w:val="2"/>
        <w:jc w:val="center"/>
      </w:pPr>
      <w:r>
        <w:rPr>
          <w:sz w:val="20"/>
        </w:rPr>
        <w:t xml:space="preserve">К СФЕРЕ ДЕЯТЕЛЬНОСТИ МИНИСТЕРСТВА ПРОСВЕЩЕНИЯ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5"/>
        <w:gridCol w:w="2205"/>
        <w:gridCol w:w="1155"/>
        <w:gridCol w:w="4310"/>
        <w:gridCol w:w="1444"/>
        <w:gridCol w:w="727"/>
        <w:gridCol w:w="727"/>
        <w:gridCol w:w="729"/>
      </w:tblGrid>
      <w:tr>
        <w:tblPrEx>
          <w:tblBorders>
            <w:insideV w:val="single" w:sz="4"/>
            <w:insideH w:val="single" w:sz="4"/>
          </w:tblBorders>
        </w:tblPrEx>
        <w:tc>
          <w:tcPr>
            <w:gridSpan w:val="2"/>
            <w:tcW w:w="2790" w:type="dxa"/>
            <w:tcBorders>
              <w:top w:val="single" w:sz="4"/>
              <w:left w:val="nil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проекта</w:t>
            </w:r>
          </w:p>
        </w:tc>
        <w:tc>
          <w:tcPr>
            <w:tcW w:w="1155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исполнитель</w:t>
            </w:r>
          </w:p>
        </w:tc>
        <w:tc>
          <w:tcPr>
            <w:tcW w:w="4310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показателя</w:t>
            </w:r>
          </w:p>
        </w:tc>
        <w:tc>
          <w:tcPr>
            <w:tcW w:w="144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 показателя</w:t>
            </w:r>
          </w:p>
        </w:tc>
        <w:tc>
          <w:tcPr>
            <w:gridSpan w:val="3"/>
            <w:tcW w:w="2183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по годам</w:t>
            </w:r>
          </w:p>
        </w:tc>
      </w:tr>
      <w:tr>
        <w:tblPrEx>
          <w:tblBorders>
            <w:insideV w:val="single" w:sz="4"/>
            <w:insideH w:val="single" w:sz="4"/>
          </w:tblBorders>
        </w:tblPrEx>
        <w:tc>
          <w:tcPr>
            <w:gridSpan w:val="2"/>
            <w:tcBorders>
              <w:top w:val="single" w:sz="4"/>
              <w:left w:val="nil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72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</w:t>
            </w:r>
          </w:p>
        </w:tc>
        <w:tc>
          <w:tcPr>
            <w:tcW w:w="72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2023</w:t>
            </w:r>
          </w:p>
        </w:tc>
        <w:tc>
          <w:tcPr>
            <w:tcW w:w="729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2024</w:t>
            </w:r>
          </w:p>
        </w:tc>
      </w:tr>
      <w:tr>
        <w:tc>
          <w:tcPr>
            <w:tcW w:w="58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20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Создание сервиса "Библиотека цифрового образовательного контента"</w:t>
            </w:r>
          </w:p>
        </w:tc>
        <w:tc>
          <w:tcPr>
            <w:tcW w:w="115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</w:t>
            </w:r>
          </w:p>
        </w:tc>
        <w:tc>
          <w:tcPr>
            <w:tcW w:w="431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доля обучающихся, родителей (законных представителей) и педагогических работников, которым обеспечен равный доступ на безвозмездной основе к верифицированному цифровому образовательному контенту, создающему для всех участников образовательных отношений, в том числе для лиц с ограниченными возможностями здоровья, равные образовательные возможности, нацеленному на реализацию образовательных программ, построение индивидуальных образовательных траекторий, а также на повышение профессиональной компетентности педагогических работников</w:t>
            </w:r>
          </w:p>
        </w:tc>
        <w:tc>
          <w:tcPr>
            <w:tcW w:w="144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процентов</w:t>
            </w:r>
          </w:p>
        </w:tc>
        <w:tc>
          <w:tcPr>
            <w:tcW w:w="72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72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</w:t>
            </w:r>
          </w:p>
        </w:tc>
        <w:tc>
          <w:tcPr>
            <w:tcW w:w="72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</w:t>
            </w:r>
          </w:p>
        </w:tc>
      </w:tr>
      <w:t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Создание и внедрение сервиса для обучающихся "Цифровой помощник ученика"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</w:t>
            </w:r>
          </w:p>
        </w:tc>
        <w:tc>
          <w:tcPr>
            <w:tcW w:w="43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доли используемых проактивных сервисов подборки цифрового образовательного контента, позволяющих обучающимся, родителям (законным представителям) и педагогическим работникам эффективно планировать индивидуальный план (программу) обучения, а также обеспечить высокое качество реализации общеобразовательных программ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процентов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60</w:t>
            </w:r>
          </w:p>
        </w:tc>
      </w:tr>
      <w:t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Создание и внедрение сервиса "Цифровой помощник родителя"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</w:t>
            </w:r>
          </w:p>
        </w:tc>
        <w:tc>
          <w:tcPr>
            <w:tcW w:w="43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доля обучающихся и их родителей (законных представителей), которым создана возможность формирования эффективной системы выявления, развития и поддержки талантов у детей при помощи комплексного проактивного сервиса, среди прочего обеспечивающего автоматизированный подбор и поступление в общеобразовательные организации, запись на участие в олимпиадах, конкурсах, соревнованиях и (или) государственных итоговых аттестациях, получение документов об образовании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процентов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80</w:t>
            </w:r>
          </w:p>
        </w:tc>
      </w:tr>
      <w:t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Создание и внедрение сервиса для обучающихся "Цифровое портфолио ученика"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</w:t>
            </w:r>
          </w:p>
        </w:tc>
        <w:tc>
          <w:tcPr>
            <w:tcW w:w="43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доля обучающихся, родителей (законных представителей) и педагогических работников, которым обеспечена возможность эффективно планировать траекторию личностного роста обучающегося, что будет способствовать повышению качества профессиональной ориентации обучающихся всех уровней общего образования, а также среднего профессионального образования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процентов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</w:t>
            </w:r>
          </w:p>
        </w:tc>
      </w:tr>
      <w:t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Создание и внедрение сервиса "Цифровой помощник учителя"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</w:t>
            </w:r>
          </w:p>
        </w:tc>
        <w:tc>
          <w:tcPr>
            <w:tcW w:w="43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доля педагогических работников, которым обеспечена возможность автоматизированного планирования образовательных программ, а также возможность осуществлять проверку домашних заданий с использованием экспертных систем искусственного интеллекта, что снизит уровень перегрузки рутинными процедурами, создаст возможности повышения квалификации и уровня профессиональной компетентности педагогических работников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процентов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90</w:t>
            </w:r>
          </w:p>
        </w:tc>
      </w:tr>
      <w:tr>
        <w:tc>
          <w:tcPr>
            <w:tcW w:w="58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Создание и внедрение системы управления в образовательной организации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</w:t>
            </w:r>
          </w:p>
        </w:tc>
        <w:tc>
          <w:tcPr>
            <w:tcW w:w="431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доля образовательных организаций, введение электронного документооборота в которых позволит снизить уровень бюрократизации образовательной деятельности, даст возможность принимать управленческие решения на основе анализа больших данных с помощью интеллектуальных алгоритмов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процентов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90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18"/>
      <w:headerReference w:type="first" r:id="rId18"/>
      <w:footerReference w:type="default" r:id="rId19"/>
      <w:footerReference w:type="first" r:id="rId19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02.12.2021 N 3427-р</w:t>
            <w:br/>
            <w:t>&lt;Об утверждении стратегического направления в области цифровой тран...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20.09.2022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02.12.2021 N 3427-р</w:t>
            <w:br/>
            <w:t>&lt;Об утверждении стратегического направления в области цифровой тран...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20.09.2022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8E98BA1173B4DDC12E01118A1985A3C8736B032679D0FCCF1B9379AA8B529A436ADD9DBBA690266EFD26F5F524h8cDK" TargetMode = "External"/>
	<Relationship Id="rId8" Type="http://schemas.openxmlformats.org/officeDocument/2006/relationships/hyperlink" Target="consultantplus://offline/ref=8E98BA1173B4DDC12E01118A1985A3C87166032F72DCFCCF1B9379AA8B529A4378DDC5B7A490386EFC33A3A462DA5913C5721DED0A91ECAFh7cFK" TargetMode = "External"/>
	<Relationship Id="rId9" Type="http://schemas.openxmlformats.org/officeDocument/2006/relationships/hyperlink" Target="consultantplus://offline/ref=8E98BA1173B4DDC12E01118A1985A3C8726E032F72D5FCCF1B9379AA8B529A4378DDC5B7A490386FF733A3A462DA5913C5721DED0A91ECAFh7cFK" TargetMode = "External"/>
	<Relationship Id="rId10" Type="http://schemas.openxmlformats.org/officeDocument/2006/relationships/hyperlink" Target="consultantplus://offline/ref=8E98BA1173B4DDC12E01118A1985A3C8726F0D2D7DD7FCCF1B9379AA8B529A4378DDC5B7A4903969F133A3A462DA5913C5721DED0A91ECAFh7cFK" TargetMode = "External"/>
	<Relationship Id="rId11" Type="http://schemas.openxmlformats.org/officeDocument/2006/relationships/hyperlink" Target="consultantplus://offline/ref=8E98BA1173B4DDC12E01118A1985A3C8736B032E79D2FCCF1B9379AA8B529A4378DDC5B7A490386CF633A3A462DA5913C5721DED0A91ECAFh7cFK" TargetMode = "External"/>
	<Relationship Id="rId12" Type="http://schemas.openxmlformats.org/officeDocument/2006/relationships/hyperlink" Target="consultantplus://offline/ref=8E98BA1173B4DDC12E01118A1985A3C8736B0C2779D3FCCF1B9379AA8B529A4378DDC5B7A490386FFD33A3A462DA5913C5721DED0A91ECAFh7cFK" TargetMode = "External"/>
	<Relationship Id="rId13" Type="http://schemas.openxmlformats.org/officeDocument/2006/relationships/hyperlink" Target="consultantplus://offline/ref=8E98BA1173B4DDC12E01118A1985A3C8736A082D73D0FCCF1B9379AA8B529A4378DDC5B7A490386FF533A3A462DA5913C5721DED0A91ECAFh7cFK" TargetMode = "External"/>
	<Relationship Id="rId14" Type="http://schemas.openxmlformats.org/officeDocument/2006/relationships/hyperlink" Target="consultantplus://offline/ref=8E98BA1173B4DDC12E01118A1985A3C873680F267CD7FCCF1B9379AA8B529A436ADD9DBBA690266EFD26F5F524h8cDK" TargetMode = "External"/>
	<Relationship Id="rId15" Type="http://schemas.openxmlformats.org/officeDocument/2006/relationships/hyperlink" Target="consultantplus://offline/ref=8E98BA1173B4DDC12E01118A1985A3C87369082C72DCFCCF1B9379AA8B529A4378DDC5B7A490386FF433A3A462DA5913C5721DED0A91ECAFh7cFK" TargetMode = "External"/>
	<Relationship Id="rId16" Type="http://schemas.openxmlformats.org/officeDocument/2006/relationships/hyperlink" Target="consultantplus://offline/ref=8E98BA1173B4DDC12E01118A1985A3C87367092D7EDCFCCF1B9379AA8B529A4378DDC5B7A490386FF533A3A462DA5913C5721DED0A91ECAFh7cFK" TargetMode = "External"/>
	<Relationship Id="rId17" Type="http://schemas.openxmlformats.org/officeDocument/2006/relationships/hyperlink" Target="consultantplus://offline/ref=8E98BA1173B4DDC12E01118A1985A3C8736B0C2779D3FCCF1B9379AA8B529A4378DDC5B7A490386DFD33A3A462DA5913C5721DED0A91ECAFh7cFK" TargetMode = "External"/>
	<Relationship Id="rId18" Type="http://schemas.openxmlformats.org/officeDocument/2006/relationships/header" Target="header2.xml"/>
	<Relationship Id="rId19" Type="http://schemas.openxmlformats.org/officeDocument/2006/relationships/footer" Target="footer2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4022.00.21</Application>
  <Company>КонсультантПлюс Версия 4022.00.21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02.12.2021 N 3427-р
&lt;Об утверждении стратегического направления в области цифровой трансформации образования, относящейся к сфере деятельности Министерства просвещения Российской Федерации&gt;</dc:title>
  <dcterms:created xsi:type="dcterms:W3CDTF">2022-09-20T10:28:33Z</dcterms:created>
</cp:coreProperties>
</file>